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395" w:rsidRPr="003B0395" w:rsidRDefault="003B0395" w:rsidP="003B0395">
      <w:pPr>
        <w:spacing w:after="0" w:line="240" w:lineRule="auto"/>
        <w:ind w:firstLine="709"/>
        <w:jc w:val="both"/>
        <w:outlineLvl w:val="2"/>
        <w:rPr>
          <w:rFonts w:ascii="Times New Roman" w:eastAsia="Times New Roman" w:hAnsi="Times New Roman" w:cs="Times New Roman"/>
          <w:b/>
          <w:bCs/>
          <w:sz w:val="24"/>
          <w:szCs w:val="24"/>
          <w:lang w:eastAsia="ru-RU"/>
        </w:rPr>
      </w:pPr>
      <w:r w:rsidRPr="003B0395">
        <w:rPr>
          <w:rFonts w:ascii="Times New Roman" w:eastAsia="Times New Roman" w:hAnsi="Times New Roman" w:cs="Times New Roman"/>
          <w:b/>
          <w:bCs/>
          <w:sz w:val="24"/>
          <w:szCs w:val="24"/>
          <w:lang w:eastAsia="ru-RU"/>
        </w:rPr>
        <w:t>Кейс для обсуждения "Управление конфликтами при реализации научных проектов"</w:t>
      </w:r>
    </w:p>
    <w:p w:rsidR="003B0395" w:rsidRDefault="003B0395" w:rsidP="003B0395">
      <w:pPr>
        <w:spacing w:after="0" w:line="240" w:lineRule="auto"/>
        <w:ind w:firstLine="709"/>
        <w:jc w:val="both"/>
        <w:rPr>
          <w:rFonts w:ascii="Times New Roman" w:eastAsia="Times New Roman" w:hAnsi="Times New Roman" w:cs="Times New Roman"/>
          <w:sz w:val="24"/>
          <w:szCs w:val="24"/>
          <w:lang w:eastAsia="ru-RU"/>
        </w:rPr>
      </w:pPr>
    </w:p>
    <w:p w:rsidR="003B0395" w:rsidRPr="003B0395" w:rsidRDefault="003B0395" w:rsidP="003B0395">
      <w:pPr>
        <w:spacing w:after="0" w:line="240" w:lineRule="auto"/>
        <w:ind w:firstLine="709"/>
        <w:jc w:val="both"/>
        <w:rPr>
          <w:rFonts w:ascii="Times New Roman" w:eastAsia="Times New Roman" w:hAnsi="Times New Roman" w:cs="Times New Roman"/>
          <w:sz w:val="24"/>
          <w:szCs w:val="24"/>
          <w:lang w:eastAsia="ru-RU"/>
        </w:rPr>
      </w:pPr>
      <w:r w:rsidRPr="003B0395">
        <w:rPr>
          <w:rFonts w:ascii="Times New Roman" w:eastAsia="Times New Roman" w:hAnsi="Times New Roman" w:cs="Times New Roman"/>
          <w:sz w:val="24"/>
          <w:szCs w:val="24"/>
          <w:lang w:eastAsia="ru-RU"/>
        </w:rPr>
        <w:t>Научная корпорация VSC – один из крупнейших мировых производителей продукции для здравоохранения. Рынок продукции для здравоохранения состоит из четырех сегментов: больниц, клинических лабораторий, универ</w:t>
      </w:r>
      <w:bookmarkStart w:id="0" w:name="_GoBack"/>
      <w:bookmarkEnd w:id="0"/>
      <w:r w:rsidRPr="003B0395">
        <w:rPr>
          <w:rFonts w:ascii="Times New Roman" w:eastAsia="Times New Roman" w:hAnsi="Times New Roman" w:cs="Times New Roman"/>
          <w:sz w:val="24"/>
          <w:szCs w:val="24"/>
          <w:lang w:eastAsia="ru-RU"/>
        </w:rPr>
        <w:t>ситетов и промышленных предприятий. 52% объема продаж приходится на клинические лаборатории. Лаборатории находятся в больницах или диагностических центрах, где проводятся анализы крови и другие исследования по направлению лечащих врачей. Вариация цен на оборудование для клинических лабораторий составляет от 5 центов за пробирку до 195 тыс. долл, за анализатор, выполняющий одновременно 18 анализов крови.</w:t>
      </w:r>
    </w:p>
    <w:p w:rsidR="003B0395" w:rsidRPr="003B0395" w:rsidRDefault="003B0395" w:rsidP="003B0395">
      <w:pPr>
        <w:spacing w:after="0" w:line="240" w:lineRule="auto"/>
        <w:ind w:firstLine="709"/>
        <w:jc w:val="both"/>
        <w:rPr>
          <w:rFonts w:ascii="Times New Roman" w:eastAsia="Times New Roman" w:hAnsi="Times New Roman" w:cs="Times New Roman"/>
          <w:sz w:val="24"/>
          <w:szCs w:val="24"/>
          <w:lang w:eastAsia="ru-RU"/>
        </w:rPr>
      </w:pPr>
      <w:r w:rsidRPr="003B0395">
        <w:rPr>
          <w:rFonts w:ascii="Times New Roman" w:eastAsia="Times New Roman" w:hAnsi="Times New Roman" w:cs="Times New Roman"/>
          <w:sz w:val="24"/>
          <w:szCs w:val="24"/>
          <w:lang w:eastAsia="ru-RU"/>
        </w:rPr>
        <w:t xml:space="preserve">В последние десятилетия многие крупные корпорации энергетики и обрабатывающей промышленности начали выходить на рынок продукции для здравоохранения. </w:t>
      </w:r>
      <w:r w:rsidRPr="003B0395">
        <w:rPr>
          <w:rFonts w:ascii="Times New Roman" w:eastAsia="Times New Roman" w:hAnsi="Times New Roman" w:cs="Times New Roman"/>
          <w:b/>
          <w:bCs/>
          <w:i/>
          <w:iCs/>
          <w:sz w:val="24"/>
          <w:szCs w:val="24"/>
          <w:lang w:eastAsia="ru-RU"/>
        </w:rPr>
        <w:t>Eli Lilly, Dow Chemical, Revlon</w:t>
      </w:r>
      <w:r w:rsidRPr="003B0395">
        <w:rPr>
          <w:rFonts w:ascii="Times New Roman" w:eastAsia="Times New Roman" w:hAnsi="Times New Roman" w:cs="Times New Roman"/>
          <w:sz w:val="24"/>
          <w:szCs w:val="24"/>
          <w:lang w:eastAsia="ru-RU"/>
        </w:rPr>
        <w:t xml:space="preserve"> и </w:t>
      </w:r>
      <w:r w:rsidRPr="003B0395">
        <w:rPr>
          <w:rFonts w:ascii="Times New Roman" w:eastAsia="Times New Roman" w:hAnsi="Times New Roman" w:cs="Times New Roman"/>
          <w:b/>
          <w:bCs/>
          <w:i/>
          <w:iCs/>
          <w:sz w:val="24"/>
          <w:szCs w:val="24"/>
          <w:lang w:eastAsia="ru-RU"/>
        </w:rPr>
        <w:t>E. I. Du Pont</w:t>
      </w:r>
      <w:r w:rsidRPr="003B0395">
        <w:rPr>
          <w:rFonts w:ascii="Times New Roman" w:eastAsia="Times New Roman" w:hAnsi="Times New Roman" w:cs="Times New Roman"/>
          <w:sz w:val="24"/>
          <w:szCs w:val="24"/>
          <w:lang w:eastAsia="ru-RU"/>
        </w:rPr>
        <w:t xml:space="preserve"> вкладывали все больше средств в НИР по созданию продуктов для здравоохранения. В США до 50% общенациональных расходов на медицинскую помощь приходится на проведение различных анализов, и медикам требуется все большее количество анализов, в том числе для тестирования новых заболеваний.</w:t>
      </w:r>
    </w:p>
    <w:p w:rsidR="003B0395" w:rsidRPr="003B0395" w:rsidRDefault="003B0395" w:rsidP="003B0395">
      <w:pPr>
        <w:spacing w:after="0" w:line="240" w:lineRule="auto"/>
        <w:ind w:firstLine="709"/>
        <w:jc w:val="both"/>
        <w:rPr>
          <w:rFonts w:ascii="Times New Roman" w:eastAsia="Times New Roman" w:hAnsi="Times New Roman" w:cs="Times New Roman"/>
          <w:sz w:val="24"/>
          <w:szCs w:val="24"/>
          <w:lang w:eastAsia="ru-RU"/>
        </w:rPr>
      </w:pPr>
      <w:r w:rsidRPr="003B0395">
        <w:rPr>
          <w:rFonts w:ascii="Times New Roman" w:eastAsia="Times New Roman" w:hAnsi="Times New Roman" w:cs="Times New Roman"/>
          <w:sz w:val="24"/>
          <w:szCs w:val="24"/>
          <w:lang w:eastAsia="ru-RU"/>
        </w:rPr>
        <w:t xml:space="preserve">В 80-е гг. XX в. была осуществлена базисная инновация – генная инженерия. Возникли новые венчурные компании, такие как </w:t>
      </w:r>
      <w:r w:rsidRPr="003B0395">
        <w:rPr>
          <w:rFonts w:ascii="Times New Roman" w:eastAsia="Times New Roman" w:hAnsi="Times New Roman" w:cs="Times New Roman"/>
          <w:b/>
          <w:bCs/>
          <w:i/>
          <w:iCs/>
          <w:sz w:val="24"/>
          <w:szCs w:val="24"/>
          <w:lang w:eastAsia="ru-RU"/>
        </w:rPr>
        <w:t>Genetech Corporation</w:t>
      </w:r>
      <w:r w:rsidRPr="003B0395">
        <w:rPr>
          <w:rFonts w:ascii="Times New Roman" w:eastAsia="Times New Roman" w:hAnsi="Times New Roman" w:cs="Times New Roman"/>
          <w:sz w:val="24"/>
          <w:szCs w:val="24"/>
          <w:lang w:eastAsia="ru-RU"/>
        </w:rPr>
        <w:t xml:space="preserve"> или </w:t>
      </w:r>
      <w:r w:rsidRPr="003B0395">
        <w:rPr>
          <w:rFonts w:ascii="Times New Roman" w:eastAsia="Times New Roman" w:hAnsi="Times New Roman" w:cs="Times New Roman"/>
          <w:b/>
          <w:bCs/>
          <w:i/>
          <w:iCs/>
          <w:sz w:val="24"/>
          <w:szCs w:val="24"/>
          <w:lang w:eastAsia="ru-RU"/>
        </w:rPr>
        <w:t xml:space="preserve">Cetus Scientific Laboratories, </w:t>
      </w:r>
      <w:r w:rsidRPr="003B0395">
        <w:rPr>
          <w:rFonts w:ascii="Times New Roman" w:eastAsia="Times New Roman" w:hAnsi="Times New Roman" w:cs="Times New Roman"/>
          <w:sz w:val="24"/>
          <w:szCs w:val="24"/>
          <w:lang w:eastAsia="ru-RU"/>
        </w:rPr>
        <w:t>штат которых составляли университетские микробиологи. Эти компании должны были реализовать коммерческий потенциал искусственной модификации генов.</w:t>
      </w:r>
    </w:p>
    <w:p w:rsidR="003B0395" w:rsidRPr="003B0395" w:rsidRDefault="003B0395" w:rsidP="003B0395">
      <w:pPr>
        <w:spacing w:after="0" w:line="240" w:lineRule="auto"/>
        <w:ind w:firstLine="709"/>
        <w:jc w:val="both"/>
        <w:rPr>
          <w:rFonts w:ascii="Times New Roman" w:eastAsia="Times New Roman" w:hAnsi="Times New Roman" w:cs="Times New Roman"/>
          <w:sz w:val="24"/>
          <w:szCs w:val="24"/>
          <w:lang w:eastAsia="ru-RU"/>
        </w:rPr>
      </w:pPr>
      <w:r w:rsidRPr="003B0395">
        <w:rPr>
          <w:rFonts w:ascii="Times New Roman" w:eastAsia="Times New Roman" w:hAnsi="Times New Roman" w:cs="Times New Roman"/>
          <w:sz w:val="24"/>
          <w:szCs w:val="24"/>
          <w:lang w:eastAsia="ru-RU"/>
        </w:rPr>
        <w:t xml:space="preserve">Руководители VSC обратили внимание на сформировавшееся критически важное научное направление и решили создать отдел исследований по биотехнологии на проектных принципах. Так как существовал дефицит квалифицированных микробиологов, отдел был создан в составе только девяти ученых с опытом работы в различных областях биологии и специалистов из смежных отраслей. В штат отдела были также зачислены около двадцати лаборантов, которые должны были помогать в проведении исследований по заданию научно-исследовательского персонала. Отдел был разделен на три группы: </w:t>
      </w:r>
      <w:r w:rsidRPr="003B0395">
        <w:rPr>
          <w:rFonts w:ascii="Times New Roman" w:eastAsia="Times New Roman" w:hAnsi="Times New Roman" w:cs="Times New Roman"/>
          <w:sz w:val="24"/>
          <w:szCs w:val="24"/>
          <w:lang w:eastAsia="ru-RU"/>
        </w:rPr>
        <w:t>модификации генов, рекомбинации и ферментизации. Отдел биотехнологических исследований оказался самым маленьким из трех исследовательских отделов VSC. Организационная схема НИОКР VSC представлена на рисунке.</w:t>
      </w:r>
    </w:p>
    <w:p w:rsidR="000649CA" w:rsidRP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noProof/>
          <w:sz w:val="24"/>
          <w:szCs w:val="24"/>
          <w:lang w:eastAsia="ru-RU"/>
        </w:rPr>
        <w:drawing>
          <wp:inline distT="0" distB="0" distL="0" distR="0" wp14:anchorId="22F42427" wp14:editId="0436996C">
            <wp:extent cx="3705225" cy="2909181"/>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40727" t="13398" r="18225" b="29305"/>
                    <a:stretch/>
                  </pic:blipFill>
                  <pic:spPr bwMode="auto">
                    <a:xfrm>
                      <a:off x="0" y="0"/>
                      <a:ext cx="3710660" cy="2913448"/>
                    </a:xfrm>
                    <a:prstGeom prst="rect">
                      <a:avLst/>
                    </a:prstGeom>
                    <a:ln>
                      <a:noFill/>
                    </a:ln>
                    <a:extLst>
                      <a:ext uri="{53640926-AAD7-44D8-BBD7-CCE9431645EC}">
                        <a14:shadowObscured xmlns:a14="http://schemas.microsoft.com/office/drawing/2010/main"/>
                      </a:ext>
                    </a:extLst>
                  </pic:spPr>
                </pic:pic>
              </a:graphicData>
            </a:graphic>
          </wp:inline>
        </w:drawing>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Для работы в новом отделе были отобраны наиболее компетентные сотрудники. Предполагалась высокая степень кооперации исследований, когда сотрудники из разных групп будут тесно взаимодействовать друг с другом, хотя каждая группа была территориально обособлена, занимая отдельный этаж в исследовательском корпусе. Подобная территориальная разобщенность могла бы быть преодолена только в неопределенном будущем, после постройки нового крыла.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Ведущий научный сотрудник в каждой группе назначался ее руководителем. Все три руководителя групп подчинялись директору отдела, который не был специалистом-микробиологом. Структура в рамках самих групп была весьма неформальной, а решения принимались коллегиально.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Первые восемнадцать месяцев деятельность отдела биотехнологических исследований была относительно рутинной — сотрудники тестировали уже широко известные методы, например, </w:t>
      </w:r>
      <w:r w:rsidRPr="003B0395">
        <w:rPr>
          <w:rFonts w:ascii="Times New Roman" w:hAnsi="Times New Roman" w:cs="Times New Roman"/>
          <w:sz w:val="24"/>
          <w:szCs w:val="24"/>
        </w:rPr>
        <w:lastRenderedPageBreak/>
        <w:t xml:space="preserve">получение инсулина человека путем модификации генов на основе результатов фундаментального исследования, осуществленного исследователем из Гарварда. Работа выполнялась по заказу ряда частных компаний, которым требовался в очень больших количествах инсулин.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Другое направление включало очистку крови для анализов, например на диабет, и идентификацию наследственных заболеваний, таких как серповидная анемия. Все первоначальные проекты организовывались по одинаковой схеме: работа начиналась в группе модификации генов, затем продолжалась в группе рекомбинации и завершалась в группе ферментизации. Ферментизация использовалась, чтобы воспроизвести бактерии, созданные в двух других группах, в количестве, необходимом для массового производства. Ученые и лаборанты с энтузиазмом принялись за работу в новом отделе. Они гордились тем, что выбор пал на них, и сразу же стали чувствовать себя частью единого коллектива. Их устраивало разделение труда с выделением трех групп, но перерывы на кофе и обеденный перерыв все группы проводили вместе. Собрания руководителей групп проходили в духе сотрудничества, а любые проблемы с координацией действий быстро разрешались. В коллективе сложилась бесконфликтная обстановка.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Летом следующего года отдел биотехнологических исследований начал очень важный полный инновационный проект. Одна из крупнейших компаний отрасли, Hoﬀ man-LaRoche разрабатывала лейкоцитарный интерферон для лечения рака. VSC заключила с Hoﬀ man-LaRoche договор на разработку технологии производства интерферона, причем для разработки технологии в ее распоряжении было только шесть месяцев. Инновационный процесс был организован параллельно, и каждая группа, находясь на своей обособленной территории, незамедлительно начала опробовать подходы и идеи, актуальные для ее исследований. Также каждая группа изучала последние научные публикации в своей области специализации и советовалась с коллегами из университетов. Все понимали, что та группа, которая первая достигнет каких-либо результатов, будет диктовать остальным направления дальнейшей работы, а задел, </w:t>
      </w:r>
      <w:r w:rsidRPr="003B0395">
        <w:rPr>
          <w:rFonts w:ascii="Times New Roman" w:hAnsi="Times New Roman" w:cs="Times New Roman"/>
          <w:sz w:val="24"/>
          <w:szCs w:val="24"/>
        </w:rPr>
        <w:t xml:space="preserve">созданный ранее другими группами, окажется практически аннулированным.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В начале сентября руководители групп встретились в первый раз с начала реализации проекта, чтобы выяснить, какой достигнут прогресс, и поделиться тем, что открыла каждая группа. Цель собрания состояла в обмене информацией и согласовании технических параметров для дальнейшего продолжения работ каждой группой. Практически сразу выяснилось, что каждая группа выбрала различное направление решения проблемы и, двигаясь в рамках выбранного направления, разработала концепции, которые, по ее собственному мнению, являются выдающимися. Принятие для дальнейшей разработки концепции каждой из групп потребовало бы огромной дополнительной работы двух других групп. Руководители групп страстно отстаивали свои позиции, и собрание закончилось безрезультатно. Ни одна из позиций не получила одобрения, и не было достигнуто какого-либо компромисса.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В течение следующих шести недель каждая группа прилагала отчаянные усилия, чтобы получить промежуточные результаты, прежде чем другие группы завершат первый этап своих исследований. Спешка была необходима, чтобы группы, не укладывающиеся в график выполнения работ, могли бы переформулировать свои задания на основе результатов, полученных лидерами. Последующие собрания руководителей групп проходили в конфликтной обстановке и не были направлены на разрешение возникавших проблем. Ни один из предлагаемых методических подходов не оказался предпочтительнее других для клонирования и производства интерферона. Все три направления выглядели многообещающими, но были взаимоисключающими, тем самым представляя собой стратегические альтернативы. Между группами происходили непрерывные трения на персон альном уровне. Первоначальный горячий энтузиазм по поводу проекта по мере эскалации конфликта сходил на нет. Социальные контакты ограничивались членами своей группы, а преобладающей темой для разговоров стало обсуждение того, как обойти другие группы.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15 ноября на работу был принят профессор из Стэнфордского университета, обладающий значительным опытом разработки </w:t>
      </w:r>
      <w:r w:rsidRPr="003B0395">
        <w:rPr>
          <w:rFonts w:ascii="Times New Roman" w:hAnsi="Times New Roman" w:cs="Times New Roman"/>
          <w:sz w:val="24"/>
          <w:szCs w:val="24"/>
        </w:rPr>
        <w:lastRenderedPageBreak/>
        <w:t xml:space="preserve">технологий рекомбинации ДНК, для руководства данным проектом. Формально его должность называлась «главный биолог», но ему непосредственно подчинялся весь научно-исследовательский и инженерно-технический персонал, задействованный в проекте. С ним должны были обсуждать свою текущую работу руководители групп. В течение недели главный биолог выбрал основной методический подход, на котором должны были основываться дальнейшие исследования. Эта методика, разработанная в Стэнфорде, во многих аспектах совпадала с подходом, который отстаивала группа ферментизации. Технические возражения других групп были отвергнуты. Каждый сотрудник должен был следовать новому методическому подходу. Для каждой группы были установлены инструкции по проведению работ в рамках общего исследовательского плана. Новый руководитель спустил подчиненным жесткие сроки выполнения этапов работ, исходя из взаимозависимости между частями работы, выполняемыми отдельными группами. От каждого руководителя группы требовалось еженедельно представлять отчет о результатах проделанной работы. </w:t>
      </w:r>
    </w:p>
    <w:p w:rsidR="003B0395" w:rsidRP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Руководители групп модификации генов и рекомбинации выражали свое несогласие в течение первых недель, последовавших за принятием новым руководителем проекта решительных мер. Они тратили много времени, чтобы найти в плане слабые места и доказать превосходство разработанного ими подхода. В новом плане удалось найти несколько слабых мест. Главный биолог доказывал свою правоту и требовал соблюдения графика выполнения работ. Работы выполнялись по графику, и три группы одновременно достигли поставленных перед ними целей. Взаимодействие с главным биологом стало более регулярным. Последние данные, полученные одной из групп, сразу доводились до сведения остальных так, чтобы не дублировать усилия понапрасну. Решения ряда задач руководители групп координировали между собой. Отчужденность сотрудников разных групп стала преодолеваться. Обеденный перерыв они стали проводить вместе. Руководители групп проводили ежедневные совместные заседания и вместе вырабатывали требования к результатам взаимосвязанных этапов. Вновь появился энтузиазм в отношении проекта.</w:t>
      </w:r>
    </w:p>
    <w:p w:rsidR="003B0395" w:rsidRDefault="003B0395" w:rsidP="003B0395">
      <w:pPr>
        <w:spacing w:after="0" w:line="240" w:lineRule="auto"/>
        <w:ind w:firstLine="709"/>
        <w:jc w:val="both"/>
        <w:rPr>
          <w:rFonts w:ascii="Times New Roman" w:hAnsi="Times New Roman" w:cs="Times New Roman"/>
          <w:b/>
          <w:sz w:val="24"/>
          <w:szCs w:val="24"/>
        </w:rPr>
      </w:pPr>
    </w:p>
    <w:p w:rsidR="003B0395" w:rsidRDefault="003B0395" w:rsidP="003B0395">
      <w:pPr>
        <w:spacing w:after="0" w:line="240" w:lineRule="auto"/>
        <w:ind w:firstLine="709"/>
        <w:jc w:val="both"/>
        <w:rPr>
          <w:rFonts w:ascii="Times New Roman" w:hAnsi="Times New Roman" w:cs="Times New Roman"/>
          <w:b/>
          <w:sz w:val="24"/>
          <w:szCs w:val="24"/>
        </w:rPr>
      </w:pPr>
      <w:r w:rsidRPr="003B0395">
        <w:rPr>
          <w:rFonts w:ascii="Times New Roman" w:hAnsi="Times New Roman" w:cs="Times New Roman"/>
          <w:b/>
          <w:sz w:val="24"/>
          <w:szCs w:val="24"/>
        </w:rPr>
        <w:t>Вопросы к кейсу</w:t>
      </w:r>
      <w:r>
        <w:rPr>
          <w:rFonts w:ascii="Times New Roman" w:hAnsi="Times New Roman" w:cs="Times New Roman"/>
          <w:b/>
          <w:sz w:val="24"/>
          <w:szCs w:val="24"/>
        </w:rPr>
        <w:t>:</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1. Перечислите все организационные факторы, которые способствовали возникновению кризисной ситуации. Выделите все источники конфликта.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2. Восстановите стадии развития данного конфликта.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3. Составьте таблицу из положительных и отрицательных последствий данного конфликта. Вначале выпишите те из них, которые уже проявились, и те, которые могут возникнуть в дальнейшем. Затем выпишите конструктивные и деструктивные последствия, возникновение которых можно вызвать или предотвратить при применении определенных стратегий и методов управления конфликтами. Выделите наиболее дисфункциональные последствия и те, которые имеют, на Ваш взгляд, наибольший конструктивный эффект. Напишите напротив них методы и стратегии, которые в этой связи следовало бы применить. </w:t>
      </w:r>
    </w:p>
    <w:p w:rsid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 xml:space="preserve">4. Выделите и выпишите в две колонки основные моменты, способствовавшие разрешению конфликта. В первую колонку выпишите факторы, находящиеся вне прямого управленческого воздействия руководителей фирмы и проекта. Во второй перечислите те действия, которые они спланировали и осуществили. </w:t>
      </w:r>
    </w:p>
    <w:p w:rsidR="003B0395" w:rsidRPr="003B0395" w:rsidRDefault="003B0395" w:rsidP="003B0395">
      <w:pPr>
        <w:spacing w:after="0" w:line="240" w:lineRule="auto"/>
        <w:ind w:firstLine="709"/>
        <w:jc w:val="both"/>
        <w:rPr>
          <w:rFonts w:ascii="Times New Roman" w:hAnsi="Times New Roman" w:cs="Times New Roman"/>
          <w:sz w:val="24"/>
          <w:szCs w:val="24"/>
        </w:rPr>
      </w:pPr>
      <w:r w:rsidRPr="003B0395">
        <w:rPr>
          <w:rFonts w:ascii="Times New Roman" w:hAnsi="Times New Roman" w:cs="Times New Roman"/>
          <w:sz w:val="24"/>
          <w:szCs w:val="24"/>
        </w:rPr>
        <w:t>5. Выпишите использованные методы управления конфликтом. Сопоставьте их с вашими предложениями, сформулированными по заданию к предыдущему разделу. Как соотносятся предложенные методы с выбранной руководством VSC стратегией?</w:t>
      </w:r>
    </w:p>
    <w:sectPr w:rsidR="003B0395" w:rsidRPr="003B0395" w:rsidSect="003B0395">
      <w:footerReference w:type="default" r:id="rId7"/>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E9B" w:rsidRDefault="00CF6E9B" w:rsidP="003B0395">
      <w:pPr>
        <w:spacing w:after="0" w:line="240" w:lineRule="auto"/>
      </w:pPr>
      <w:r>
        <w:separator/>
      </w:r>
    </w:p>
  </w:endnote>
  <w:endnote w:type="continuationSeparator" w:id="0">
    <w:p w:rsidR="00CF6E9B" w:rsidRDefault="00CF6E9B" w:rsidP="003B0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019151"/>
      <w:docPartObj>
        <w:docPartGallery w:val="Page Numbers (Bottom of Page)"/>
        <w:docPartUnique/>
      </w:docPartObj>
    </w:sdtPr>
    <w:sdtContent>
      <w:p w:rsidR="003B0395" w:rsidRDefault="003B0395">
        <w:pPr>
          <w:pStyle w:val="a7"/>
          <w:jc w:val="right"/>
        </w:pPr>
        <w:r>
          <w:fldChar w:fldCharType="begin"/>
        </w:r>
        <w:r>
          <w:instrText>PAGE   \* MERGEFORMAT</w:instrText>
        </w:r>
        <w:r>
          <w:fldChar w:fldCharType="separate"/>
        </w:r>
        <w:r>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E9B" w:rsidRDefault="00CF6E9B" w:rsidP="003B0395">
      <w:pPr>
        <w:spacing w:after="0" w:line="240" w:lineRule="auto"/>
      </w:pPr>
      <w:r>
        <w:separator/>
      </w:r>
    </w:p>
  </w:footnote>
  <w:footnote w:type="continuationSeparator" w:id="0">
    <w:p w:rsidR="00CF6E9B" w:rsidRDefault="00CF6E9B" w:rsidP="003B03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395"/>
    <w:rsid w:val="000649CA"/>
    <w:rsid w:val="003B0395"/>
    <w:rsid w:val="00CF6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0C6D"/>
  <w15:chartTrackingRefBased/>
  <w15:docId w15:val="{9D4857F0-58B2-4079-B12F-8465CBBD1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3">
    <w:name w:val="heading 3"/>
    <w:basedOn w:val="a"/>
    <w:link w:val="30"/>
    <w:uiPriority w:val="9"/>
    <w:qFormat/>
    <w:rsid w:val="003B03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B039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B03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B0395"/>
    <w:rPr>
      <w:b/>
      <w:bCs/>
    </w:rPr>
  </w:style>
  <w:style w:type="paragraph" w:styleId="a5">
    <w:name w:val="header"/>
    <w:basedOn w:val="a"/>
    <w:link w:val="a6"/>
    <w:uiPriority w:val="99"/>
    <w:unhideWhenUsed/>
    <w:rsid w:val="003B039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0395"/>
  </w:style>
  <w:style w:type="paragraph" w:styleId="a7">
    <w:name w:val="footer"/>
    <w:basedOn w:val="a"/>
    <w:link w:val="a8"/>
    <w:uiPriority w:val="99"/>
    <w:unhideWhenUsed/>
    <w:rsid w:val="003B039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0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34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1596</Words>
  <Characters>9099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Сергеева</dc:creator>
  <cp:keywords/>
  <dc:description/>
  <cp:lastModifiedBy>Сергеева </cp:lastModifiedBy>
  <cp:revision>1</cp:revision>
  <dcterms:created xsi:type="dcterms:W3CDTF">2017-02-17T05:49:00Z</dcterms:created>
  <dcterms:modified xsi:type="dcterms:W3CDTF">2017-02-17T05:56:00Z</dcterms:modified>
</cp:coreProperties>
</file>